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EmpCo-Guardian — Fund-Report</w:t>
      </w:r>
    </w:p>
    <w:p>
      <w:r>
        <w:t xml:space="preserve">Erstellt: 27.08.2026 11:17</w:t>
      </w:r>
    </w:p>
    <w:p>
      <w:r>
        <w:t xml:space="preserve">Rechtsstand: RL (EU) 2024/825 — DE-Umsetzung 2026-02-19, anwendbar ab 2026-09-27 | Kanzlei-Handreichung (UWG n.F.) | EK-FAQ Stand 2026-06</w:t>
      </w:r>
    </w:p>
    <w:p>
      <w:r>
        <w:t xml:space="preserve">Filter: keine (alle Scans)</w:t>
      </w:r>
    </w:p>
    <w:p>
      <w:r>
        <w:rPr>
          <w:i/>
          <w:iCs/>
          <w:color w:val="B8860B"/>
        </w:rPr>
        <w:t xml:space="preserve">VORLÄUFIGE EINSTUFUNGEN — ausstehende Rechtsprüfung. Vorläufige, automatisierte Einstufung — ausstehende Einzelfallprüfung. Kein Rechtsrat, kein finales Urteil. Grundlage: Richtlinien-/UWG-Text (gesetz), Kanzlei-Handreichung (freigegeben) und EK-FAQ (auslegung). Die Handreichung ersetzt laut eigenem Hinweis keine Rechtsberatung im Einzelfall.</w:t>
      </w:r>
    </w:p>
    <w:p>
      <w:pPr>
        <w:pStyle w:val="Heading1"/>
      </w:pPr>
      <w:r>
        <w:t xml:space="preserve">Zusammenfassung</w:t>
      </w:r>
    </w:p>
    <w:p>
      <w:r>
        <w:t xml:space="preserve">Seiten im Bestand: 0 (ROT 0 · GELB 0 · GRÜN 0 · ohne Befund 0)</w:t>
      </w:r>
    </w:p>
    <w:p>
      <w:r>
        <w:t xml:space="preserve">Funde in diesem Report: ROT 0 · GELB 0 · GRÜN 0</w:t>
      </w:r>
    </w:p>
    <w:p>
      <w:r>
        <w:rPr>
          <w:i/>
          <w:iCs/>
        </w:rPr>
        <w:t xml:space="preserve">Keine Funde für die gewählten Filter.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2026-08-27T11:17:57.693Z</dcterms:created>
  <dcterms:modified xsi:type="dcterms:W3CDTF">2026-08-27T11:17:57.693Z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